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29-й Международной промышленной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24-й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«Диалог металлургов: Актуальные вопросы, особенности и перспективы использования технологий роботизации и искусственного интеллекта в металлургии и тяжелой промышленности»,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Корпорация АльянсМеталлургия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6-я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«Индустриальная реклама сегодня: мифы и реальность»,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тел.: (925) 722-69-25</w:t>
            </w:r>
            <w:br/>
            <w:r>
              <w:rPr/>
              <w:t xml:space="preserve">МСС</w:t>
            </w:r>
            <w:br/>
            <w:r>
              <w:rPr/>
              <w:t xml:space="preserve">тел.: 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по Межотраслевой программе освоения новых видов и улучшению
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АВТОВАЗ</w:t>
            </w:r>
            <w:br/>
            <w:r>
              <w:rPr/>
              <w:t xml:space="preserve">Русская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«Эффекты полного цикла жизни - новый приоритет в создании стратегической инфраструктуры», Форсайт сессия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Уральская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«Инновационные материалы в производстве смазок и смазочно-охлаждающих жидкостях»,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(911) 966-99-69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металлургии, тяжелому машиностроению и горнорудной промышленности при Комитете Государственной Думы по промышленности и торговле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Комитет ГД по промышленности и торговле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«Примеры и возможности успешного импортозамещения в смазках и смазочных материалах»,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(911) 966-99-69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АРСС для монтажных организаций, металлургов, заказчиков стального строительства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Конгресс-центр,
зал «Стеклянный купол»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«Цифровая экосистема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  <w:r>
              <w:rPr/>
              <w:t xml:space="preserve">1С-Битрикс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технологическими данными в металлургии: примеры цифровизации ведущих предприятий»,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Аусферр</w:t>
            </w:r>
            <w:br/>
            <w:r>
              <w:rPr/>
              <w:t xml:space="preserve">тел.: (3519) 49-55-80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Vision'2023»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22-я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применения стали в строительстве в рамках стратегического взаимодействия АРСС с отраслевыми профессиональными сообществами»,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«Взаимодействие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2023», Конференция
Награждение лауреатов конкурса «Лучшее корпоративное издание в металлургической отрасли – 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 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2023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 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 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«Металл-Экспо’2023»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2023-10-18T16:35:41+03:00</dcterms:created>
  <dcterms:modified xsi:type="dcterms:W3CDTF">2023-10-18T16:35:41+03:00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